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A155" w14:textId="79277DF8" w:rsidR="00355EE7" w:rsidRPr="00355EE7" w:rsidRDefault="00355EE7" w:rsidP="00355EE7">
      <w:pPr>
        <w:jc w:val="center"/>
        <w:rPr>
          <w:rFonts w:eastAsiaTheme="minorEastAsia"/>
          <w:b/>
          <w:bCs/>
          <w:szCs w:val="24"/>
        </w:rPr>
      </w:pPr>
      <w:r w:rsidRPr="00355EE7">
        <w:rPr>
          <w:rFonts w:eastAsiaTheme="minorEastAsia"/>
          <w:b/>
          <w:bCs/>
          <w:szCs w:val="24"/>
        </w:rPr>
        <w:t>TITLE 595. DEPARTMENT OF PUBLIC SAFETY </w:t>
      </w:r>
    </w:p>
    <w:p w14:paraId="38A0E689" w14:textId="77777777" w:rsidR="00355EE7" w:rsidRPr="00355EE7" w:rsidRDefault="00355EE7" w:rsidP="00355EE7">
      <w:pPr>
        <w:jc w:val="center"/>
        <w:rPr>
          <w:rFonts w:eastAsiaTheme="minorEastAsia"/>
          <w:b/>
          <w:bCs/>
          <w:szCs w:val="24"/>
        </w:rPr>
      </w:pPr>
      <w:r w:rsidRPr="00355EE7">
        <w:rPr>
          <w:rFonts w:eastAsiaTheme="minorEastAsia"/>
          <w:b/>
          <w:bCs/>
          <w:szCs w:val="24"/>
        </w:rPr>
        <w:t>CHAPTER 25. WRECKERS AND TOWING SERVICES</w:t>
      </w:r>
    </w:p>
    <w:p w14:paraId="1D8BC84F" w14:textId="77777777" w:rsidR="00C31F1F" w:rsidRDefault="00C31F1F"/>
    <w:p w14:paraId="6A491EF3" w14:textId="77777777" w:rsidR="00491E51" w:rsidRDefault="00491E51" w:rsidP="00491E51">
      <w:pPr>
        <w:jc w:val="center"/>
        <w:rPr>
          <w:b/>
        </w:rPr>
      </w:pPr>
      <w:r>
        <w:rPr>
          <w:b/>
        </w:rPr>
        <w:t>RULE IMPACT STATEMENT</w:t>
      </w:r>
    </w:p>
    <w:p w14:paraId="12354552" w14:textId="77777777" w:rsidR="00491E51" w:rsidRDefault="00491E51" w:rsidP="00491E51"/>
    <w:p w14:paraId="20B11AA1" w14:textId="57D7C7FF" w:rsidR="00491E51" w:rsidRDefault="00491E51" w:rsidP="00491E51">
      <w:r>
        <w:t xml:space="preserve"> Pursuant to</w:t>
      </w:r>
      <w:r w:rsidR="008D5FBB">
        <w:t xml:space="preserve"> 75</w:t>
      </w:r>
      <w:r>
        <w:t xml:space="preserve"> O.S. § 303(D), the Department of Public Safety provides the following rule impact statement regarding the proposed rule changes to Chapter </w:t>
      </w:r>
      <w:r w:rsidR="008D5FBB">
        <w:t>25</w:t>
      </w:r>
      <w:r>
        <w:t xml:space="preserve"> of Title 595 of the Oklahoma Administrative Code. </w:t>
      </w:r>
    </w:p>
    <w:p w14:paraId="1D8BC852" w14:textId="77777777" w:rsidR="00DA3240" w:rsidRDefault="00DA3240"/>
    <w:p w14:paraId="5AC66FAE" w14:textId="5382BC54" w:rsidR="00774BA9" w:rsidRPr="00774BA9" w:rsidRDefault="00774BA9" w:rsidP="00774BA9">
      <w:pPr>
        <w:rPr>
          <w:b/>
        </w:rPr>
      </w:pPr>
      <w:r w:rsidRPr="00774BA9">
        <w:rPr>
          <w:b/>
        </w:rPr>
        <w:t>A.</w:t>
      </w:r>
      <w:r>
        <w:rPr>
          <w:b/>
        </w:rPr>
        <w:tab/>
      </w:r>
      <w:r w:rsidRPr="00774BA9">
        <w:rPr>
          <w:b/>
        </w:rPr>
        <w:t>Purpose and Legal Basis</w:t>
      </w:r>
    </w:p>
    <w:p w14:paraId="642AE6C2" w14:textId="7FC87F89" w:rsidR="00CA07D8" w:rsidRDefault="00CA07D8" w:rsidP="00CA07D8">
      <w:pPr>
        <w:ind w:left="720"/>
        <w:rPr>
          <w:bCs/>
        </w:rPr>
      </w:pPr>
      <w:r>
        <w:rPr>
          <w:bCs/>
        </w:rPr>
        <w:t xml:space="preserve">The proposed amendments are submitted to further clarify and simplify the administration of wrecker and towing services pursuant to 47 O.S. § 952, </w:t>
      </w:r>
      <w:r>
        <w:rPr>
          <w:bCs/>
          <w:i/>
          <w:iCs/>
        </w:rPr>
        <w:t>et seq.</w:t>
      </w:r>
      <w:r>
        <w:rPr>
          <w:bCs/>
        </w:rPr>
        <w:t xml:space="preserve"> </w:t>
      </w:r>
    </w:p>
    <w:p w14:paraId="643DC0AF" w14:textId="5CE380C2" w:rsidR="00774BA9" w:rsidRPr="00774BA9" w:rsidRDefault="00774BA9" w:rsidP="00774BA9"/>
    <w:p w14:paraId="1D8BC853" w14:textId="36E8D1B2" w:rsidR="00DA3240" w:rsidRDefault="00D4094E">
      <w:pPr>
        <w:rPr>
          <w:b/>
        </w:rPr>
      </w:pPr>
      <w:r>
        <w:rPr>
          <w:b/>
        </w:rPr>
        <w:t xml:space="preserve">B. </w:t>
      </w:r>
      <w:r>
        <w:rPr>
          <w:b/>
        </w:rPr>
        <w:tab/>
        <w:t>Classification</w:t>
      </w:r>
    </w:p>
    <w:p w14:paraId="71B405D3" w14:textId="12E97DCB" w:rsidR="00A70C05" w:rsidRDefault="0010290C" w:rsidP="0010290C">
      <w:pPr>
        <w:ind w:left="720"/>
        <w:rPr>
          <w:bCs/>
        </w:rPr>
      </w:pPr>
      <w:r>
        <w:rPr>
          <w:bCs/>
        </w:rPr>
        <w:t xml:space="preserve">The proposed amendments to these rules are classified as a </w:t>
      </w:r>
      <w:r>
        <w:rPr>
          <w:bCs/>
          <w:i/>
          <w:iCs/>
        </w:rPr>
        <w:t>nonmajor rule amendment</w:t>
      </w:r>
      <w:r>
        <w:rPr>
          <w:bCs/>
        </w:rPr>
        <w:t xml:space="preserve"> with no financial impact. </w:t>
      </w:r>
    </w:p>
    <w:p w14:paraId="4D795CB2" w14:textId="77777777" w:rsidR="00047707" w:rsidRDefault="00047707" w:rsidP="00047707">
      <w:pPr>
        <w:rPr>
          <w:bCs/>
        </w:rPr>
      </w:pPr>
    </w:p>
    <w:p w14:paraId="65C9253A" w14:textId="2F9C1D78" w:rsidR="00047707" w:rsidRDefault="00047707" w:rsidP="00047707">
      <w:pPr>
        <w:rPr>
          <w:b/>
        </w:rPr>
      </w:pPr>
      <w:r>
        <w:rPr>
          <w:b/>
        </w:rPr>
        <w:t xml:space="preserve">C. </w:t>
      </w:r>
      <w:r>
        <w:rPr>
          <w:b/>
        </w:rPr>
        <w:tab/>
      </w:r>
      <w:r w:rsidR="003979BE">
        <w:rPr>
          <w:b/>
        </w:rPr>
        <w:t>Purpose of Proposed Amendment</w:t>
      </w:r>
    </w:p>
    <w:p w14:paraId="6ACA72D7" w14:textId="5AE41FEE" w:rsidR="003979BE" w:rsidRPr="00047707" w:rsidRDefault="003979BE" w:rsidP="003979BE">
      <w:pPr>
        <w:ind w:left="720"/>
        <w:rPr>
          <w:b/>
        </w:rPr>
      </w:pPr>
      <w:r>
        <w:rPr>
          <w:bCs/>
        </w:rPr>
        <w:t>These amendments provide additional definitions for terms used within these rules. The proposed amendments clarify and simplify the license application process. The proposed amendments address situations in which the agency has identified the current rules fail to adequately reflect agency practices. The proposed rules provide clarification on certain points related to major rule rewrites from 2025. The proposed amendments clarify the official communication methods employed by the Department. The proposed amendments clarify how and why the agency will manage administrative actions against licensees for violations of the administrative rules.</w:t>
      </w:r>
    </w:p>
    <w:p w14:paraId="51BDD231" w14:textId="77777777" w:rsidR="00BC2B24" w:rsidRDefault="00BC2B24" w:rsidP="00A4408C">
      <w:pPr>
        <w:ind w:left="720"/>
        <w:rPr>
          <w:bCs/>
        </w:rPr>
      </w:pPr>
    </w:p>
    <w:p w14:paraId="54537320" w14:textId="77777777" w:rsidR="00C503A0" w:rsidRDefault="00C503A0" w:rsidP="00C503A0">
      <w:pPr>
        <w:rPr>
          <w:b/>
        </w:rPr>
      </w:pPr>
      <w:r>
        <w:rPr>
          <w:b/>
        </w:rPr>
        <w:t>D.</w:t>
      </w:r>
      <w:r>
        <w:rPr>
          <w:b/>
        </w:rPr>
        <w:tab/>
        <w:t>Classes of Persons Affected</w:t>
      </w:r>
    </w:p>
    <w:p w14:paraId="6FDDDF5F" w14:textId="6A1EFDB3" w:rsidR="00BC2B24" w:rsidRDefault="00C503A0" w:rsidP="009D32EA">
      <w:pPr>
        <w:ind w:left="720"/>
        <w:rPr>
          <w:bCs/>
        </w:rPr>
      </w:pPr>
      <w:r>
        <w:rPr>
          <w:bCs/>
        </w:rPr>
        <w:t xml:space="preserve">These proposed amendments will affect </w:t>
      </w:r>
      <w:r w:rsidR="003D4CB7">
        <w:rPr>
          <w:bCs/>
        </w:rPr>
        <w:t xml:space="preserve">any person operating a wrecker or towing service company within the state of Oklahoma. </w:t>
      </w:r>
    </w:p>
    <w:p w14:paraId="1D8BC858" w14:textId="77777777" w:rsidR="00DA3240" w:rsidRDefault="00DA3240"/>
    <w:p w14:paraId="746A6DF3" w14:textId="77777777" w:rsidR="00D0131F" w:rsidRDefault="00D0131F" w:rsidP="00D0131F">
      <w:pPr>
        <w:rPr>
          <w:b/>
        </w:rPr>
      </w:pPr>
      <w:r>
        <w:rPr>
          <w:b/>
        </w:rPr>
        <w:t>E.</w:t>
      </w:r>
      <w:r>
        <w:rPr>
          <w:b/>
        </w:rPr>
        <w:tab/>
        <w:t>Classes of Persons Benefitting</w:t>
      </w:r>
    </w:p>
    <w:p w14:paraId="33D5246A" w14:textId="59B0E17E" w:rsidR="00506CEE" w:rsidRPr="00F1754A" w:rsidRDefault="00D0131F" w:rsidP="009A172B">
      <w:pPr>
        <w:ind w:left="720"/>
        <w:rPr>
          <w:bCs/>
        </w:rPr>
      </w:pPr>
      <w:r>
        <w:rPr>
          <w:bCs/>
        </w:rPr>
        <w:t xml:space="preserve">The beneficiaries of these proposed amendments will be </w:t>
      </w:r>
      <w:r w:rsidR="00BB63F8">
        <w:rPr>
          <w:bCs/>
        </w:rPr>
        <w:t>any person operating a wrecker or towing service company within the state of Oklahoma, the Department of Public Safety,</w:t>
      </w:r>
      <w:r w:rsidR="00DC5077">
        <w:rPr>
          <w:bCs/>
        </w:rPr>
        <w:t xml:space="preserve"> the law enforcement community, and any person utilizing Oklahoma roadways. </w:t>
      </w:r>
    </w:p>
    <w:p w14:paraId="1D8BC85A" w14:textId="77777777" w:rsidR="00DA3240" w:rsidRDefault="00DA3240">
      <w:r>
        <w:rPr>
          <w:b/>
        </w:rPr>
        <w:tab/>
      </w:r>
    </w:p>
    <w:p w14:paraId="37613C14" w14:textId="77777777" w:rsidR="001D76CC" w:rsidRDefault="001D76CC" w:rsidP="001D76CC">
      <w:pPr>
        <w:rPr>
          <w:b/>
        </w:rPr>
      </w:pPr>
      <w:r>
        <w:rPr>
          <w:b/>
        </w:rPr>
        <w:t>F.</w:t>
      </w:r>
      <w:r>
        <w:rPr>
          <w:b/>
        </w:rPr>
        <w:tab/>
        <w:t>Probable Economic Impact</w:t>
      </w:r>
    </w:p>
    <w:p w14:paraId="1D8BC85C" w14:textId="1CD294A0" w:rsidR="00DA3240" w:rsidRPr="007C2E0B" w:rsidRDefault="00115A61" w:rsidP="0025209E">
      <w:pPr>
        <w:ind w:left="720"/>
      </w:pPr>
      <w:r>
        <w:t>There is no anticipated economic impact</w:t>
      </w:r>
      <w:r w:rsidR="00467385">
        <w:t xml:space="preserve"> associated with these proposed amendments</w:t>
      </w:r>
      <w:r>
        <w:t xml:space="preserve">. </w:t>
      </w:r>
      <w:r w:rsidR="0025209E">
        <w:rPr>
          <w:bCs/>
        </w:rPr>
        <w:t>No state agency, political subdivision, entity, or individual will experience costs or revenues because of implementing these proposed rules.</w:t>
      </w:r>
      <w:r>
        <w:t xml:space="preserve"> </w:t>
      </w:r>
    </w:p>
    <w:p w14:paraId="1D8BC85D" w14:textId="77777777" w:rsidR="00DA3240" w:rsidRDefault="00DA3240"/>
    <w:p w14:paraId="0E228E05" w14:textId="77777777" w:rsidR="00153EBB" w:rsidRDefault="00153EBB" w:rsidP="00153EBB">
      <w:pPr>
        <w:rPr>
          <w:b/>
        </w:rPr>
      </w:pPr>
      <w:r>
        <w:rPr>
          <w:b/>
        </w:rPr>
        <w:t>G.</w:t>
      </w:r>
      <w:r>
        <w:rPr>
          <w:b/>
        </w:rPr>
        <w:tab/>
        <w:t>Methodology</w:t>
      </w:r>
    </w:p>
    <w:p w14:paraId="5EAF0385" w14:textId="77777777" w:rsidR="00153EBB" w:rsidRPr="002527B8" w:rsidRDefault="00153EBB" w:rsidP="00153EBB">
      <w:pPr>
        <w:rPr>
          <w:bCs/>
        </w:rPr>
      </w:pPr>
      <w:r>
        <w:rPr>
          <w:b/>
        </w:rPr>
        <w:tab/>
      </w:r>
      <w:r>
        <w:rPr>
          <w:bCs/>
        </w:rPr>
        <w:t xml:space="preserve">Economic determinations were based on internal agency review. </w:t>
      </w:r>
    </w:p>
    <w:p w14:paraId="1D8BC860" w14:textId="77777777" w:rsidR="004B1570" w:rsidRDefault="004B1570"/>
    <w:p w14:paraId="0D709A85" w14:textId="77777777" w:rsidR="00941FD5" w:rsidRDefault="00941FD5" w:rsidP="00941FD5">
      <w:pPr>
        <w:rPr>
          <w:b/>
        </w:rPr>
      </w:pPr>
      <w:r>
        <w:rPr>
          <w:b/>
        </w:rPr>
        <w:t>H.</w:t>
      </w:r>
      <w:r>
        <w:rPr>
          <w:bCs/>
        </w:rPr>
        <w:tab/>
      </w:r>
      <w:r>
        <w:rPr>
          <w:b/>
        </w:rPr>
        <w:t>Effect on Political Subdivisions</w:t>
      </w:r>
    </w:p>
    <w:p w14:paraId="33E487BB" w14:textId="77777777" w:rsidR="00941FD5" w:rsidRDefault="00941FD5" w:rsidP="00941FD5">
      <w:pPr>
        <w:rPr>
          <w:bCs/>
        </w:rPr>
      </w:pPr>
      <w:r>
        <w:rPr>
          <w:b/>
        </w:rPr>
        <w:tab/>
      </w:r>
      <w:r>
        <w:rPr>
          <w:bCs/>
        </w:rPr>
        <w:t>The proposed amendments impose no duties or costs on political subdivisions.</w:t>
      </w:r>
    </w:p>
    <w:p w14:paraId="6137D93D" w14:textId="77777777" w:rsidR="00941FD5" w:rsidRDefault="00941FD5" w:rsidP="00941FD5">
      <w:pPr>
        <w:rPr>
          <w:bCs/>
        </w:rPr>
      </w:pPr>
    </w:p>
    <w:p w14:paraId="3695DDDD" w14:textId="77777777" w:rsidR="00941FD5" w:rsidRDefault="00941FD5" w:rsidP="00941FD5">
      <w:pPr>
        <w:rPr>
          <w:bCs/>
        </w:rPr>
      </w:pPr>
      <w:r w:rsidRPr="0081437E">
        <w:rPr>
          <w:b/>
        </w:rPr>
        <w:t>I.</w:t>
      </w:r>
      <w:r>
        <w:rPr>
          <w:b/>
        </w:rPr>
        <w:t xml:space="preserve"> </w:t>
      </w:r>
      <w:r>
        <w:rPr>
          <w:b/>
        </w:rPr>
        <w:tab/>
        <w:t>Effect on Small Business</w:t>
      </w:r>
    </w:p>
    <w:p w14:paraId="2E6D45EC" w14:textId="77777777" w:rsidR="00941FD5" w:rsidRDefault="00941FD5" w:rsidP="00941FD5">
      <w:pPr>
        <w:rPr>
          <w:bCs/>
        </w:rPr>
      </w:pPr>
      <w:r>
        <w:rPr>
          <w:bCs/>
        </w:rPr>
        <w:tab/>
        <w:t xml:space="preserve">The proposed amendments impose no duties or costs on small businesses. </w:t>
      </w:r>
    </w:p>
    <w:p w14:paraId="31203205" w14:textId="77777777" w:rsidR="00941FD5" w:rsidRDefault="00941FD5" w:rsidP="00941FD5">
      <w:pPr>
        <w:rPr>
          <w:bCs/>
        </w:rPr>
      </w:pPr>
    </w:p>
    <w:p w14:paraId="3B2BC800" w14:textId="77777777" w:rsidR="00941FD5" w:rsidRDefault="00941FD5" w:rsidP="00941FD5">
      <w:pPr>
        <w:rPr>
          <w:bCs/>
        </w:rPr>
      </w:pPr>
      <w:r>
        <w:rPr>
          <w:b/>
        </w:rPr>
        <w:t xml:space="preserve">J. </w:t>
      </w:r>
      <w:r>
        <w:rPr>
          <w:bCs/>
        </w:rPr>
        <w:tab/>
      </w:r>
      <w:r>
        <w:rPr>
          <w:b/>
        </w:rPr>
        <w:t>Minimization of Costs</w:t>
      </w:r>
    </w:p>
    <w:p w14:paraId="19A48E34" w14:textId="77777777" w:rsidR="00941FD5" w:rsidRDefault="00941FD5" w:rsidP="00941FD5">
      <w:pPr>
        <w:ind w:left="720"/>
        <w:rPr>
          <w:bCs/>
        </w:rPr>
      </w:pPr>
      <w:r>
        <w:rPr>
          <w:bCs/>
        </w:rPr>
        <w:t xml:space="preserve">No measures are necessary to minimize compliance costs, as no costs are imposed by the proposed amendments. </w:t>
      </w:r>
    </w:p>
    <w:p w14:paraId="58F03170" w14:textId="77777777" w:rsidR="00941FD5" w:rsidRDefault="00941FD5" w:rsidP="00941FD5">
      <w:pPr>
        <w:rPr>
          <w:bCs/>
        </w:rPr>
      </w:pPr>
    </w:p>
    <w:p w14:paraId="11A579A5" w14:textId="77777777" w:rsidR="00941FD5" w:rsidRDefault="00941FD5" w:rsidP="00941FD5">
      <w:pPr>
        <w:rPr>
          <w:bCs/>
        </w:rPr>
      </w:pPr>
      <w:r>
        <w:rPr>
          <w:b/>
        </w:rPr>
        <w:t xml:space="preserve">K. </w:t>
      </w:r>
      <w:r>
        <w:rPr>
          <w:b/>
        </w:rPr>
        <w:tab/>
        <w:t>Effect on Public Health, Safety, and Environment</w:t>
      </w:r>
    </w:p>
    <w:p w14:paraId="53EAA01C" w14:textId="26ABC5FA" w:rsidR="00941FD5" w:rsidRDefault="00941FD5" w:rsidP="00B33309">
      <w:pPr>
        <w:rPr>
          <w:bCs/>
        </w:rPr>
      </w:pPr>
      <w:r>
        <w:rPr>
          <w:bCs/>
        </w:rPr>
        <w:tab/>
        <w:t xml:space="preserve">There is no anticipated effect on public health, safety, or environment. </w:t>
      </w:r>
    </w:p>
    <w:p w14:paraId="6B0D2C9C" w14:textId="77777777" w:rsidR="00941FD5" w:rsidRDefault="00941FD5" w:rsidP="00941FD5">
      <w:pPr>
        <w:rPr>
          <w:bCs/>
        </w:rPr>
      </w:pPr>
    </w:p>
    <w:p w14:paraId="73753FB9" w14:textId="77777777" w:rsidR="00941FD5" w:rsidRDefault="00941FD5" w:rsidP="00941FD5">
      <w:pPr>
        <w:rPr>
          <w:bCs/>
        </w:rPr>
      </w:pPr>
      <w:r>
        <w:rPr>
          <w:b/>
        </w:rPr>
        <w:t xml:space="preserve">L. </w:t>
      </w:r>
      <w:r>
        <w:rPr>
          <w:b/>
        </w:rPr>
        <w:tab/>
        <w:t>Detrimental Effect if Not Implemented</w:t>
      </w:r>
    </w:p>
    <w:p w14:paraId="4F25A142" w14:textId="1949152C" w:rsidR="00941FD5" w:rsidRPr="00201CD7" w:rsidRDefault="00201CD7" w:rsidP="00F36737">
      <w:pPr>
        <w:ind w:left="720"/>
        <w:rPr>
          <w:bCs/>
        </w:rPr>
      </w:pPr>
      <w:r>
        <w:rPr>
          <w:bCs/>
        </w:rPr>
        <w:t>Not implementing these proposed amendments would allow</w:t>
      </w:r>
      <w:r w:rsidR="00314193">
        <w:rPr>
          <w:bCs/>
        </w:rPr>
        <w:t xml:space="preserve"> the continuance of misinterpretation </w:t>
      </w:r>
      <w:r w:rsidR="00815C57">
        <w:rPr>
          <w:bCs/>
        </w:rPr>
        <w:t>of department intent behind the rule</w:t>
      </w:r>
      <w:r w:rsidR="004414AC">
        <w:rPr>
          <w:bCs/>
        </w:rPr>
        <w:t xml:space="preserve">s resulting in the non-uniform application of the administrative rules. </w:t>
      </w:r>
    </w:p>
    <w:p w14:paraId="6154CE06" w14:textId="77777777" w:rsidR="00941FD5" w:rsidRDefault="00941FD5">
      <w:pPr>
        <w:rPr>
          <w:b/>
        </w:rPr>
      </w:pPr>
    </w:p>
    <w:p w14:paraId="52F50D07" w14:textId="77777777" w:rsidR="00671BDE" w:rsidRDefault="00671BDE" w:rsidP="00671BDE">
      <w:pPr>
        <w:rPr>
          <w:b/>
        </w:rPr>
      </w:pPr>
      <w:r>
        <w:rPr>
          <w:b/>
        </w:rPr>
        <w:t>M.</w:t>
      </w:r>
      <w:r>
        <w:rPr>
          <w:b/>
        </w:rPr>
        <w:tab/>
        <w:t>Date Prepared</w:t>
      </w:r>
    </w:p>
    <w:p w14:paraId="1E01AE72" w14:textId="77777777" w:rsidR="00671BDE" w:rsidRPr="003535BD" w:rsidRDefault="00671BDE" w:rsidP="00671BDE">
      <w:pPr>
        <w:rPr>
          <w:bCs/>
        </w:rPr>
      </w:pPr>
      <w:r>
        <w:rPr>
          <w:b/>
        </w:rPr>
        <w:tab/>
      </w:r>
      <w:r>
        <w:rPr>
          <w:bCs/>
        </w:rPr>
        <w:t xml:space="preserve">This rule impact statement was prepared on December 17, 2025. </w:t>
      </w:r>
    </w:p>
    <w:p w14:paraId="28B09C98" w14:textId="42368306" w:rsidR="338B5D14" w:rsidRDefault="338B5D14" w:rsidP="004414AC"/>
    <w:sectPr w:rsidR="338B5D14" w:rsidSect="000B3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97049"/>
    <w:multiLevelType w:val="hybridMultilevel"/>
    <w:tmpl w:val="66E02AD2"/>
    <w:lvl w:ilvl="0" w:tplc="2F423B8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82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40"/>
    <w:rsid w:val="000058C5"/>
    <w:rsid w:val="0004559F"/>
    <w:rsid w:val="00047707"/>
    <w:rsid w:val="00090536"/>
    <w:rsid w:val="000B2020"/>
    <w:rsid w:val="000B3954"/>
    <w:rsid w:val="000F5029"/>
    <w:rsid w:val="000F7B80"/>
    <w:rsid w:val="0010290C"/>
    <w:rsid w:val="00104745"/>
    <w:rsid w:val="00115A61"/>
    <w:rsid w:val="00150DC6"/>
    <w:rsid w:val="0015174F"/>
    <w:rsid w:val="001538F2"/>
    <w:rsid w:val="00153EBB"/>
    <w:rsid w:val="00171696"/>
    <w:rsid w:val="00183476"/>
    <w:rsid w:val="0019332C"/>
    <w:rsid w:val="001D1DFB"/>
    <w:rsid w:val="001D76CC"/>
    <w:rsid w:val="00201CD7"/>
    <w:rsid w:val="00205DB3"/>
    <w:rsid w:val="002457F7"/>
    <w:rsid w:val="0025209E"/>
    <w:rsid w:val="0025479C"/>
    <w:rsid w:val="00270E1F"/>
    <w:rsid w:val="002A2161"/>
    <w:rsid w:val="002A4E24"/>
    <w:rsid w:val="002D0925"/>
    <w:rsid w:val="002E0472"/>
    <w:rsid w:val="00314193"/>
    <w:rsid w:val="00314DA9"/>
    <w:rsid w:val="00330731"/>
    <w:rsid w:val="00355CB0"/>
    <w:rsid w:val="00355EE7"/>
    <w:rsid w:val="00373F62"/>
    <w:rsid w:val="003751EA"/>
    <w:rsid w:val="00376D53"/>
    <w:rsid w:val="00390781"/>
    <w:rsid w:val="003979BE"/>
    <w:rsid w:val="003A4FD3"/>
    <w:rsid w:val="003D4CB7"/>
    <w:rsid w:val="003E6101"/>
    <w:rsid w:val="004414AC"/>
    <w:rsid w:val="00444859"/>
    <w:rsid w:val="00467385"/>
    <w:rsid w:val="004869E1"/>
    <w:rsid w:val="00491E51"/>
    <w:rsid w:val="004952C5"/>
    <w:rsid w:val="004B1570"/>
    <w:rsid w:val="00503861"/>
    <w:rsid w:val="00506CEE"/>
    <w:rsid w:val="00545789"/>
    <w:rsid w:val="00580144"/>
    <w:rsid w:val="005A4E29"/>
    <w:rsid w:val="005F0B15"/>
    <w:rsid w:val="0062194D"/>
    <w:rsid w:val="006567F0"/>
    <w:rsid w:val="00662E1C"/>
    <w:rsid w:val="00671BDE"/>
    <w:rsid w:val="00682DE1"/>
    <w:rsid w:val="00690049"/>
    <w:rsid w:val="006967AC"/>
    <w:rsid w:val="006B6E79"/>
    <w:rsid w:val="006C10D5"/>
    <w:rsid w:val="006E3397"/>
    <w:rsid w:val="006E4D69"/>
    <w:rsid w:val="00702371"/>
    <w:rsid w:val="007103B3"/>
    <w:rsid w:val="007105F5"/>
    <w:rsid w:val="00711740"/>
    <w:rsid w:val="007703F8"/>
    <w:rsid w:val="00772BCB"/>
    <w:rsid w:val="00774BA9"/>
    <w:rsid w:val="0078553D"/>
    <w:rsid w:val="007959B6"/>
    <w:rsid w:val="007A2E96"/>
    <w:rsid w:val="007A72BB"/>
    <w:rsid w:val="007C2DD6"/>
    <w:rsid w:val="007C2E0B"/>
    <w:rsid w:val="007E1834"/>
    <w:rsid w:val="007E3248"/>
    <w:rsid w:val="007F69B7"/>
    <w:rsid w:val="00815C57"/>
    <w:rsid w:val="0082027D"/>
    <w:rsid w:val="00861DC0"/>
    <w:rsid w:val="008702F6"/>
    <w:rsid w:val="00870FE2"/>
    <w:rsid w:val="008B21BF"/>
    <w:rsid w:val="008C4882"/>
    <w:rsid w:val="008D5FBB"/>
    <w:rsid w:val="00901574"/>
    <w:rsid w:val="00941EDA"/>
    <w:rsid w:val="00941FD5"/>
    <w:rsid w:val="009557DD"/>
    <w:rsid w:val="00970518"/>
    <w:rsid w:val="009721A8"/>
    <w:rsid w:val="00974D23"/>
    <w:rsid w:val="009A172B"/>
    <w:rsid w:val="009B2851"/>
    <w:rsid w:val="009C53FA"/>
    <w:rsid w:val="009D32EA"/>
    <w:rsid w:val="009E5217"/>
    <w:rsid w:val="009E523E"/>
    <w:rsid w:val="00A01733"/>
    <w:rsid w:val="00A27661"/>
    <w:rsid w:val="00A43E97"/>
    <w:rsid w:val="00A4408C"/>
    <w:rsid w:val="00A5528D"/>
    <w:rsid w:val="00A6330C"/>
    <w:rsid w:val="00A665F6"/>
    <w:rsid w:val="00A70C05"/>
    <w:rsid w:val="00A9695E"/>
    <w:rsid w:val="00AD33DF"/>
    <w:rsid w:val="00AF481B"/>
    <w:rsid w:val="00B33309"/>
    <w:rsid w:val="00B4238B"/>
    <w:rsid w:val="00B53C00"/>
    <w:rsid w:val="00B65062"/>
    <w:rsid w:val="00B967D7"/>
    <w:rsid w:val="00BA1679"/>
    <w:rsid w:val="00BB63F8"/>
    <w:rsid w:val="00BC2B24"/>
    <w:rsid w:val="00BC4F15"/>
    <w:rsid w:val="00C31F1F"/>
    <w:rsid w:val="00C503A0"/>
    <w:rsid w:val="00C53ACC"/>
    <w:rsid w:val="00C96825"/>
    <w:rsid w:val="00CA07D8"/>
    <w:rsid w:val="00D0131F"/>
    <w:rsid w:val="00D1311C"/>
    <w:rsid w:val="00D4094E"/>
    <w:rsid w:val="00D73645"/>
    <w:rsid w:val="00D76832"/>
    <w:rsid w:val="00D91886"/>
    <w:rsid w:val="00DA3240"/>
    <w:rsid w:val="00DA5472"/>
    <w:rsid w:val="00DB78F1"/>
    <w:rsid w:val="00DC19E8"/>
    <w:rsid w:val="00DC5077"/>
    <w:rsid w:val="00E01336"/>
    <w:rsid w:val="00E37EFA"/>
    <w:rsid w:val="00E64133"/>
    <w:rsid w:val="00E66D78"/>
    <w:rsid w:val="00E66EC0"/>
    <w:rsid w:val="00E720B3"/>
    <w:rsid w:val="00E7700A"/>
    <w:rsid w:val="00E847F1"/>
    <w:rsid w:val="00ED09AB"/>
    <w:rsid w:val="00F1754A"/>
    <w:rsid w:val="00F34542"/>
    <w:rsid w:val="00F36737"/>
    <w:rsid w:val="00F50EF4"/>
    <w:rsid w:val="00F708A4"/>
    <w:rsid w:val="00F7205A"/>
    <w:rsid w:val="00F90439"/>
    <w:rsid w:val="00FE01BF"/>
    <w:rsid w:val="068C89F2"/>
    <w:rsid w:val="22FABCBD"/>
    <w:rsid w:val="338B5D14"/>
    <w:rsid w:val="39041963"/>
    <w:rsid w:val="432D4068"/>
    <w:rsid w:val="4560F409"/>
    <w:rsid w:val="5F1B0AB5"/>
    <w:rsid w:val="71EA9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BC84A"/>
  <w15:docId w15:val="{62B76E6A-41BA-4211-8AA8-F0ADFB0F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40"/>
    <w:pPr>
      <w:spacing w:after="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velopes">
    <w:name w:val="Envelopes"/>
    <w:basedOn w:val="Normal"/>
    <w:link w:val="EnvelopesChar"/>
    <w:qFormat/>
    <w:rsid w:val="00974D23"/>
    <w:pPr>
      <w:widowControl w:val="0"/>
      <w:autoSpaceDE w:val="0"/>
      <w:autoSpaceDN w:val="0"/>
      <w:adjustRightInd w:val="0"/>
      <w:jc w:val="both"/>
    </w:pPr>
    <w:rPr>
      <w:rFonts w:eastAsiaTheme="minorEastAsia"/>
      <w:caps/>
      <w:szCs w:val="24"/>
    </w:rPr>
  </w:style>
  <w:style w:type="character" w:customStyle="1" w:styleId="EnvelopesChar">
    <w:name w:val="Envelopes Char"/>
    <w:basedOn w:val="DefaultParagraphFont"/>
    <w:link w:val="Envelopes"/>
    <w:rsid w:val="00974D23"/>
    <w:rPr>
      <w:rFonts w:ascii="Times New Roman" w:eastAsiaTheme="minorEastAsia" w:hAnsi="Times New Roman" w:cs="Times New Roman"/>
      <w:caps/>
      <w:sz w:val="24"/>
      <w:szCs w:val="24"/>
    </w:rPr>
  </w:style>
  <w:style w:type="paragraph" w:customStyle="1" w:styleId="paragraph">
    <w:name w:val="paragraph"/>
    <w:basedOn w:val="Normal"/>
    <w:rsid w:val="007703F8"/>
    <w:pPr>
      <w:spacing w:before="100" w:beforeAutospacing="1" w:after="100" w:afterAutospacing="1"/>
    </w:pPr>
    <w:rPr>
      <w:szCs w:val="24"/>
    </w:rPr>
  </w:style>
  <w:style w:type="character" w:customStyle="1" w:styleId="normaltextrun">
    <w:name w:val="normaltextrun"/>
    <w:basedOn w:val="DefaultParagraphFont"/>
    <w:rsid w:val="007703F8"/>
  </w:style>
  <w:style w:type="character" w:customStyle="1" w:styleId="eop">
    <w:name w:val="eop"/>
    <w:basedOn w:val="DefaultParagraphFont"/>
    <w:rsid w:val="007703F8"/>
  </w:style>
  <w:style w:type="paragraph" w:styleId="ListParagraph">
    <w:name w:val="List Paragraph"/>
    <w:basedOn w:val="Normal"/>
    <w:uiPriority w:val="34"/>
    <w:qFormat/>
    <w:rsid w:val="00774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793377">
      <w:bodyDiv w:val="1"/>
      <w:marLeft w:val="0"/>
      <w:marRight w:val="0"/>
      <w:marTop w:val="0"/>
      <w:marBottom w:val="0"/>
      <w:divBdr>
        <w:top w:val="none" w:sz="0" w:space="0" w:color="auto"/>
        <w:left w:val="none" w:sz="0" w:space="0" w:color="auto"/>
        <w:bottom w:val="none" w:sz="0" w:space="0" w:color="auto"/>
        <w:right w:val="none" w:sz="0" w:space="0" w:color="auto"/>
      </w:divBdr>
      <w:divsChild>
        <w:div w:id="152381722">
          <w:marLeft w:val="0"/>
          <w:marRight w:val="0"/>
          <w:marTop w:val="0"/>
          <w:marBottom w:val="0"/>
          <w:divBdr>
            <w:top w:val="none" w:sz="0" w:space="0" w:color="auto"/>
            <w:left w:val="none" w:sz="0" w:space="0" w:color="auto"/>
            <w:bottom w:val="none" w:sz="0" w:space="0" w:color="auto"/>
            <w:right w:val="none" w:sz="0" w:space="0" w:color="auto"/>
          </w:divBdr>
        </w:div>
        <w:div w:id="1585530106">
          <w:marLeft w:val="0"/>
          <w:marRight w:val="0"/>
          <w:marTop w:val="0"/>
          <w:marBottom w:val="0"/>
          <w:divBdr>
            <w:top w:val="none" w:sz="0" w:space="0" w:color="auto"/>
            <w:left w:val="none" w:sz="0" w:space="0" w:color="auto"/>
            <w:bottom w:val="none" w:sz="0" w:space="0" w:color="auto"/>
            <w:right w:val="none" w:sz="0" w:space="0" w:color="auto"/>
          </w:divBdr>
        </w:div>
      </w:divsChild>
    </w:div>
    <w:div w:id="1252163454">
      <w:bodyDiv w:val="1"/>
      <w:marLeft w:val="0"/>
      <w:marRight w:val="0"/>
      <w:marTop w:val="0"/>
      <w:marBottom w:val="0"/>
      <w:divBdr>
        <w:top w:val="none" w:sz="0" w:space="0" w:color="auto"/>
        <w:left w:val="none" w:sz="0" w:space="0" w:color="auto"/>
        <w:bottom w:val="none" w:sz="0" w:space="0" w:color="auto"/>
        <w:right w:val="none" w:sz="0" w:space="0" w:color="auto"/>
      </w:divBdr>
      <w:divsChild>
        <w:div w:id="488329671">
          <w:marLeft w:val="0"/>
          <w:marRight w:val="0"/>
          <w:marTop w:val="0"/>
          <w:marBottom w:val="0"/>
          <w:divBdr>
            <w:top w:val="none" w:sz="0" w:space="0" w:color="auto"/>
            <w:left w:val="none" w:sz="0" w:space="0" w:color="auto"/>
            <w:bottom w:val="none" w:sz="0" w:space="0" w:color="auto"/>
            <w:right w:val="none" w:sz="0" w:space="0" w:color="auto"/>
          </w:divBdr>
        </w:div>
        <w:div w:id="171626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8c8654-cbfa-4ecd-8416-d21f52fae82e">
      <Terms xmlns="http://schemas.microsoft.com/office/infopath/2007/PartnerControls"/>
    </lcf76f155ced4ddcb4097134ff3c332f>
    <TaxCatchAll xmlns="2c4be144-252f-471f-9fd8-8496772a11bf" xsi:nil="true"/>
    <Notes xmlns="6e8c8654-cbfa-4ecd-8416-d21f52fae8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DAF0664261545A5557BB8E5F7DB4F" ma:contentTypeVersion="14" ma:contentTypeDescription="Create a new document." ma:contentTypeScope="" ma:versionID="fca0608b2a3387fae907a6a290882115">
  <xsd:schema xmlns:xsd="http://www.w3.org/2001/XMLSchema" xmlns:xs="http://www.w3.org/2001/XMLSchema" xmlns:p="http://schemas.microsoft.com/office/2006/metadata/properties" xmlns:ns2="6e8c8654-cbfa-4ecd-8416-d21f52fae82e" xmlns:ns3="2c4be144-252f-471f-9fd8-8496772a11bf" targetNamespace="http://schemas.microsoft.com/office/2006/metadata/properties" ma:root="true" ma:fieldsID="e4579cae50f0e9fc4618d4a41d7f1a51" ns2:_="" ns3:_="">
    <xsd:import namespace="6e8c8654-cbfa-4ecd-8416-d21f52fae82e"/>
    <xsd:import namespace="2c4be144-252f-471f-9fd8-8496772a1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c8654-cbfa-4ecd-8416-d21f52fae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be144-252f-471f-9fd8-8496772a1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01f39f5-6921-409e-8bc9-5c81d4ff958f}" ma:internalName="TaxCatchAll" ma:showField="CatchAllData" ma:web="2c4be144-252f-471f-9fd8-8496772a1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3ADD-9882-4B06-AA31-2CD2705B901A}">
  <ds:schemaRefs>
    <ds:schemaRef ds:uri="http://schemas.microsoft.com/office/2006/metadata/properties"/>
    <ds:schemaRef ds:uri="http://schemas.microsoft.com/office/infopath/2007/PartnerControls"/>
    <ds:schemaRef ds:uri="6e8c8654-cbfa-4ecd-8416-d21f52fae82e"/>
    <ds:schemaRef ds:uri="2c4be144-252f-471f-9fd8-8496772a11bf"/>
  </ds:schemaRefs>
</ds:datastoreItem>
</file>

<file path=customXml/itemProps2.xml><?xml version="1.0" encoding="utf-8"?>
<ds:datastoreItem xmlns:ds="http://schemas.openxmlformats.org/officeDocument/2006/customXml" ds:itemID="{8FF0F0B4-1C90-4ED5-9DFD-6941443ADCAE}">
  <ds:schemaRefs>
    <ds:schemaRef ds:uri="http://schemas.microsoft.com/sharepoint/v3/contenttype/forms"/>
  </ds:schemaRefs>
</ds:datastoreItem>
</file>

<file path=customXml/itemProps3.xml><?xml version="1.0" encoding="utf-8"?>
<ds:datastoreItem xmlns:ds="http://schemas.openxmlformats.org/officeDocument/2006/customXml" ds:itemID="{F5BE5417-6F7D-460F-B06D-C76F1CF83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c8654-cbfa-4ecd-8416-d21f52fae82e"/>
    <ds:schemaRef ds:uri="2c4be144-252f-471f-9fd8-8496772a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20496-E100-4C02-9BCE-7BA9013C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Kimberly.Dammen</dc:creator>
  <cp:keywords/>
  <dc:description/>
  <cp:lastModifiedBy>Kimberly Dammen</cp:lastModifiedBy>
  <cp:revision>2</cp:revision>
  <cp:lastPrinted>2025-12-16T15:56:00Z</cp:lastPrinted>
  <dcterms:created xsi:type="dcterms:W3CDTF">2025-12-16T16:09:00Z</dcterms:created>
  <dcterms:modified xsi:type="dcterms:W3CDTF">2025-12-16T16:09:00Z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b01ea32e73734e51c47516809fce6b2ddd76d5ee38328a36ebb922548ab1fb22</vt:lpwstr>
  </property>
  <property fmtid="{D5CDD505-2E9C-101B-9397-08002B2CF9AE}" pid="3" name="ContentTypeId">
    <vt:lpwstr>0x010100599DAF0664261545A5557BB8E5F7DB4F</vt:lpwstr>
  </property>
  <property fmtid="{D5CDD505-2E9C-101B-9397-08002B2CF9AE}" pid="4" name="MediaServiceImageTags">
    <vt:lpwstr/>
  </property>
</Properties>
</file>