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CB95" w14:textId="4FC95B8D" w:rsidR="00D930BB" w:rsidRPr="00D930BB" w:rsidRDefault="00D930BB" w:rsidP="00D930BB">
      <w:pPr>
        <w:jc w:val="center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CHAPTER 23. STANDARDS AND CRITERIA FOR COMMUNITY-BASED STRUCTURED CRISISCENTERS</w:t>
      </w:r>
    </w:p>
    <w:p w14:paraId="7D25BD03" w14:textId="77777777" w:rsidR="00D930BB" w:rsidRPr="00D930BB" w:rsidRDefault="00D930BB" w:rsidP="00D930BB">
      <w:pPr>
        <w:jc w:val="center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SUBCHAPTER 3. CBSCC SERVICES</w:t>
      </w:r>
    </w:p>
    <w:p w14:paraId="2BD10A89" w14:textId="77777777" w:rsidR="00D930BB" w:rsidRPr="00D930BB" w:rsidRDefault="00D930BB" w:rsidP="00D930BB">
      <w:pPr>
        <w:jc w:val="center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PART 1. FACILITY-BASED CRISIS STABILIZATION</w:t>
      </w:r>
    </w:p>
    <w:p w14:paraId="0D8DF9B9" w14:textId="77777777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450:23-3-5.1. Facility-based crisis stabilization admission criteria</w:t>
      </w:r>
    </w:p>
    <w:p w14:paraId="1AB1DA6B" w14:textId="77777777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Individuals shall be admitted for facility-based crisis stabilization if all the following criteria are met:</w:t>
      </w:r>
    </w:p>
    <w:p w14:paraId="3414F4CB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(1) The individual is within the age range of those served at the </w:t>
      </w:r>
      <w:proofErr w:type="gramStart"/>
      <w:r w:rsidRPr="00D930BB">
        <w:rPr>
          <w:rFonts w:ascii="Arial" w:hAnsi="Arial" w:cs="Arial"/>
        </w:rPr>
        <w:t>facility;</w:t>
      </w:r>
      <w:proofErr w:type="gramEnd"/>
    </w:p>
    <w:p w14:paraId="22FFD2E2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(2) The individual does not meet any of the exclusion criteria within OAC 450:23-3-5.</w:t>
      </w:r>
      <w:proofErr w:type="gramStart"/>
      <w:r w:rsidRPr="00D930BB">
        <w:rPr>
          <w:rFonts w:ascii="Arial" w:hAnsi="Arial" w:cs="Arial"/>
        </w:rPr>
        <w:t>3;</w:t>
      </w:r>
      <w:proofErr w:type="gramEnd"/>
    </w:p>
    <w:p w14:paraId="4B49F859" w14:textId="221C1290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(3) Regardless of admission status, the individual meets the definition of a person requiring treatment in accordance with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Title 43A of the Oklahoma Statutes; and</w:t>
      </w:r>
    </w:p>
    <w:p w14:paraId="6FC95CC6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(4) Less restrictive community resources have been determined to be inadequate to meet the needs of the individual.</w:t>
      </w:r>
    </w:p>
    <w:p w14:paraId="5B5EE370" w14:textId="77777777" w:rsidR="00D930BB" w:rsidRDefault="00D930BB" w:rsidP="00D930BB">
      <w:pPr>
        <w:spacing w:after="0"/>
        <w:rPr>
          <w:rFonts w:ascii="Arial" w:hAnsi="Arial" w:cs="Arial"/>
          <w:b/>
          <w:bCs/>
        </w:rPr>
      </w:pPr>
    </w:p>
    <w:p w14:paraId="1AF90E18" w14:textId="5350BC91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450:23-3-5.3. Facility-based crisis stabilization exclusion criteria</w:t>
      </w:r>
    </w:p>
    <w:p w14:paraId="5F9E736D" w14:textId="2A00D802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(a) The facility may choose not to admit an individual for facility-based crisis stabilization and shall refer the individual to the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appropriate medical facility if the individual presents with any of the following:</w:t>
      </w:r>
    </w:p>
    <w:p w14:paraId="5CBF0C17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(1) Severe burns requiring acute care and cannot be cared for at </w:t>
      </w:r>
      <w:proofErr w:type="gramStart"/>
      <w:r w:rsidRPr="00D930BB">
        <w:rPr>
          <w:rFonts w:ascii="Arial" w:hAnsi="Arial" w:cs="Arial"/>
        </w:rPr>
        <w:t>home;</w:t>
      </w:r>
      <w:proofErr w:type="gramEnd"/>
    </w:p>
    <w:p w14:paraId="283FB2FC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(2) Acute </w:t>
      </w:r>
      <w:proofErr w:type="gramStart"/>
      <w:r w:rsidRPr="00D930BB">
        <w:rPr>
          <w:rFonts w:ascii="Arial" w:hAnsi="Arial" w:cs="Arial"/>
        </w:rPr>
        <w:t>Delirium;</w:t>
      </w:r>
      <w:proofErr w:type="gramEnd"/>
    </w:p>
    <w:p w14:paraId="2EC24537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(3) Dementia as a primary diagnosis in the absence of clinically significant psychiatric </w:t>
      </w:r>
      <w:proofErr w:type="gramStart"/>
      <w:r w:rsidRPr="00D930BB">
        <w:rPr>
          <w:rFonts w:ascii="Arial" w:hAnsi="Arial" w:cs="Arial"/>
        </w:rPr>
        <w:t>symptoms;</w:t>
      </w:r>
      <w:proofErr w:type="gramEnd"/>
    </w:p>
    <w:p w14:paraId="6DE61662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(4) Acute head trauma/traumatic brain injury in absence of mental illness or substance use </w:t>
      </w:r>
      <w:proofErr w:type="gramStart"/>
      <w:r w:rsidRPr="00D930BB">
        <w:rPr>
          <w:rFonts w:ascii="Arial" w:hAnsi="Arial" w:cs="Arial"/>
        </w:rPr>
        <w:t>disorder;</w:t>
      </w:r>
      <w:proofErr w:type="gramEnd"/>
    </w:p>
    <w:p w14:paraId="2EF5B1C7" w14:textId="7D6B9951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(5) Unstable fractures which are open or closed, or joint dislocations which are acute, </w:t>
      </w:r>
      <w:proofErr w:type="gramStart"/>
      <w:r w:rsidRPr="00D930BB">
        <w:rPr>
          <w:rFonts w:ascii="Arial" w:hAnsi="Arial" w:cs="Arial"/>
        </w:rPr>
        <w:t>with the exception of</w:t>
      </w:r>
      <w:proofErr w:type="gramEnd"/>
      <w:r w:rsidRPr="00D930BB">
        <w:rPr>
          <w:rFonts w:ascii="Arial" w:hAnsi="Arial" w:cs="Arial"/>
        </w:rPr>
        <w:t xml:space="preserve"> fractures that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are secured via cast or </w:t>
      </w:r>
      <w:proofErr w:type="gramStart"/>
      <w:r w:rsidRPr="00D930BB">
        <w:rPr>
          <w:rFonts w:ascii="Arial" w:hAnsi="Arial" w:cs="Arial"/>
        </w:rPr>
        <w:t>splint;</w:t>
      </w:r>
      <w:proofErr w:type="gramEnd"/>
    </w:p>
    <w:p w14:paraId="22B1E2A8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(6) Uncontrolled seizure disorders, not including other types of seizures or </w:t>
      </w:r>
      <w:proofErr w:type="gramStart"/>
      <w:r w:rsidRPr="00D930BB">
        <w:rPr>
          <w:rFonts w:ascii="Arial" w:hAnsi="Arial" w:cs="Arial"/>
        </w:rPr>
        <w:t>seizure</w:t>
      </w:r>
      <w:proofErr w:type="gramEnd"/>
      <w:r w:rsidRPr="00D930BB">
        <w:rPr>
          <w:rFonts w:ascii="Arial" w:hAnsi="Arial" w:cs="Arial"/>
        </w:rPr>
        <w:t xml:space="preserve"> </w:t>
      </w:r>
      <w:proofErr w:type="gramStart"/>
      <w:r w:rsidRPr="00D930BB">
        <w:rPr>
          <w:rFonts w:ascii="Arial" w:hAnsi="Arial" w:cs="Arial"/>
        </w:rPr>
        <w:t>disorders;</w:t>
      </w:r>
      <w:proofErr w:type="gramEnd"/>
    </w:p>
    <w:p w14:paraId="1D5105D3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(7) Bowel obstruction requiring active treatment or medical </w:t>
      </w:r>
      <w:proofErr w:type="gramStart"/>
      <w:r w:rsidRPr="00D930BB">
        <w:rPr>
          <w:rFonts w:ascii="Arial" w:hAnsi="Arial" w:cs="Arial"/>
        </w:rPr>
        <w:t>observation;</w:t>
      </w:r>
      <w:proofErr w:type="gramEnd"/>
    </w:p>
    <w:p w14:paraId="48592B5F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(8) Acute respiratory </w:t>
      </w:r>
      <w:proofErr w:type="gramStart"/>
      <w:r w:rsidRPr="00D930BB">
        <w:rPr>
          <w:rFonts w:ascii="Arial" w:hAnsi="Arial" w:cs="Arial"/>
        </w:rPr>
        <w:t>distress;</w:t>
      </w:r>
      <w:proofErr w:type="gramEnd"/>
    </w:p>
    <w:p w14:paraId="1FE1AC70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(9) Active acute drug/alcohol withdrawal that can only be treated in a medical hospital </w:t>
      </w:r>
      <w:proofErr w:type="gramStart"/>
      <w:r w:rsidRPr="00D930BB">
        <w:rPr>
          <w:rFonts w:ascii="Arial" w:hAnsi="Arial" w:cs="Arial"/>
        </w:rPr>
        <w:t>setting;</w:t>
      </w:r>
      <w:proofErr w:type="gramEnd"/>
    </w:p>
    <w:p w14:paraId="2FA0FEC2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(10) Active gastrointestinal bleed and/or active </w:t>
      </w:r>
      <w:proofErr w:type="gramStart"/>
      <w:r w:rsidRPr="00D930BB">
        <w:rPr>
          <w:rFonts w:ascii="Arial" w:hAnsi="Arial" w:cs="Arial"/>
        </w:rPr>
        <w:t>bleeding;</w:t>
      </w:r>
      <w:proofErr w:type="gramEnd"/>
    </w:p>
    <w:p w14:paraId="4E5A298C" w14:textId="23E5BB6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(11) Active tuberculosis, Methicillin-resistant Staphylococcus aureus (MRSA), and other infectious diseases requiring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isolation and/or treatment by intravenous antibiotics, if the facility is unable to provide appropriate </w:t>
      </w:r>
      <w:proofErr w:type="gramStart"/>
      <w:r w:rsidRPr="00D930BB">
        <w:rPr>
          <w:rFonts w:ascii="Arial" w:hAnsi="Arial" w:cs="Arial"/>
        </w:rPr>
        <w:t>care;</w:t>
      </w:r>
      <w:proofErr w:type="gramEnd"/>
    </w:p>
    <w:p w14:paraId="73F8CE3A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(12) Complex wound care, if the facility is unable to provide appropriate </w:t>
      </w:r>
      <w:proofErr w:type="gramStart"/>
      <w:r w:rsidRPr="00D930BB">
        <w:rPr>
          <w:rFonts w:ascii="Arial" w:hAnsi="Arial" w:cs="Arial"/>
        </w:rPr>
        <w:t>care;</w:t>
      </w:r>
      <w:proofErr w:type="gramEnd"/>
    </w:p>
    <w:p w14:paraId="2B0C7644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lastRenderedPageBreak/>
        <w:t xml:space="preserve">(13) Need for intravenous fluids or intravenous </w:t>
      </w:r>
      <w:proofErr w:type="gramStart"/>
      <w:r w:rsidRPr="00D930BB">
        <w:rPr>
          <w:rFonts w:ascii="Arial" w:hAnsi="Arial" w:cs="Arial"/>
        </w:rPr>
        <w:t>antibiotics;</w:t>
      </w:r>
      <w:proofErr w:type="gramEnd"/>
    </w:p>
    <w:p w14:paraId="1821D776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(14) Utilization of a ventilator or </w:t>
      </w:r>
      <w:proofErr w:type="gramStart"/>
      <w:r w:rsidRPr="00D930BB">
        <w:rPr>
          <w:rFonts w:ascii="Arial" w:hAnsi="Arial" w:cs="Arial"/>
        </w:rPr>
        <w:t>tracheostomy;</w:t>
      </w:r>
      <w:proofErr w:type="gramEnd"/>
    </w:p>
    <w:p w14:paraId="65538BA7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(15) Oxygen dependence, if the facility is unable to provide appropriate </w:t>
      </w:r>
      <w:proofErr w:type="gramStart"/>
      <w:r w:rsidRPr="00D930BB">
        <w:rPr>
          <w:rFonts w:ascii="Arial" w:hAnsi="Arial" w:cs="Arial"/>
        </w:rPr>
        <w:t>care;</w:t>
      </w:r>
      <w:proofErr w:type="gramEnd"/>
    </w:p>
    <w:p w14:paraId="512171F0" w14:textId="3F532560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(16) Tubes or drains within the chest or abdomen, including ostomies and catheters, if the facility is unable to provide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appropriate </w:t>
      </w:r>
      <w:proofErr w:type="gramStart"/>
      <w:r w:rsidRPr="00D930BB">
        <w:rPr>
          <w:rFonts w:ascii="Arial" w:hAnsi="Arial" w:cs="Arial"/>
        </w:rPr>
        <w:t>care;</w:t>
      </w:r>
      <w:proofErr w:type="gramEnd"/>
    </w:p>
    <w:p w14:paraId="0B1CF016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(17) Need for </w:t>
      </w:r>
      <w:proofErr w:type="gramStart"/>
      <w:r w:rsidRPr="00D930BB">
        <w:rPr>
          <w:rFonts w:ascii="Arial" w:hAnsi="Arial" w:cs="Arial"/>
        </w:rPr>
        <w:t>dialysis;</w:t>
      </w:r>
      <w:proofErr w:type="gramEnd"/>
    </w:p>
    <w:p w14:paraId="7033450B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(18) Need for hospice or end of life care; or</w:t>
      </w:r>
    </w:p>
    <w:p w14:paraId="79ECBB04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(19) Uncontrolled insulin-dependent diabetes.</w:t>
      </w:r>
    </w:p>
    <w:p w14:paraId="09CF8AC2" w14:textId="73CDAE3C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(b) Additionally, the facility may choose not to admit an individual who meets the following criteria for facility-based crisis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stabilization and shall refer the individual to the appropriate facility or community provider: </w:t>
      </w:r>
    </w:p>
    <w:p w14:paraId="7A0AE327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(1) Inability to complete Activities of Daily Living not related to psychiatric or substance use </w:t>
      </w:r>
      <w:proofErr w:type="gramStart"/>
      <w:r w:rsidRPr="00D930BB">
        <w:rPr>
          <w:rFonts w:ascii="Arial" w:hAnsi="Arial" w:cs="Arial"/>
        </w:rPr>
        <w:t>symptoms;</w:t>
      </w:r>
      <w:proofErr w:type="gramEnd"/>
    </w:p>
    <w:p w14:paraId="0EB95598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(2) Currently incarcerated or in juvenile detention; or</w:t>
      </w:r>
    </w:p>
    <w:p w14:paraId="77155699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(3) Does not meet admission criteria within OAC 450:23-3-5.1.</w:t>
      </w:r>
    </w:p>
    <w:p w14:paraId="08A81622" w14:textId="34A23640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(c) If facility-based crisis stabilization is not the least restrictive environment in accordance with Title 43A of the Oklahoma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Statutes, the individual shall not be admitted to the facility.</w:t>
      </w:r>
    </w:p>
    <w:p w14:paraId="3365D538" w14:textId="4E07F1DE" w:rsidR="00D930BB" w:rsidRPr="00D930BB" w:rsidRDefault="00D930BB" w:rsidP="00D930BB">
      <w:pPr>
        <w:spacing w:after="0"/>
        <w:rPr>
          <w:rFonts w:ascii="Arial" w:hAnsi="Arial" w:cs="Arial"/>
        </w:rPr>
      </w:pPr>
      <w:proofErr w:type="gramStart"/>
      <w:r w:rsidRPr="00D930BB">
        <w:rPr>
          <w:rFonts w:ascii="Arial" w:hAnsi="Arial" w:cs="Arial"/>
        </w:rPr>
        <w:t>(d) Any</w:t>
      </w:r>
      <w:proofErr w:type="gramEnd"/>
      <w:r w:rsidRPr="00D930BB">
        <w:rPr>
          <w:rFonts w:ascii="Arial" w:hAnsi="Arial" w:cs="Arial"/>
        </w:rPr>
        <w:t xml:space="preserve"> individual who </w:t>
      </w:r>
      <w:proofErr w:type="gramStart"/>
      <w:r w:rsidRPr="00D930BB">
        <w:rPr>
          <w:rFonts w:ascii="Arial" w:hAnsi="Arial" w:cs="Arial"/>
        </w:rPr>
        <w:t>presents</w:t>
      </w:r>
      <w:proofErr w:type="gramEnd"/>
      <w:r w:rsidRPr="00D930BB">
        <w:rPr>
          <w:rFonts w:ascii="Arial" w:hAnsi="Arial" w:cs="Arial"/>
        </w:rPr>
        <w:t xml:space="preserve"> at the facility and is not admitted shall be </w:t>
      </w:r>
      <w:proofErr w:type="gramStart"/>
      <w:r w:rsidRPr="00D930BB">
        <w:rPr>
          <w:rFonts w:ascii="Arial" w:hAnsi="Arial" w:cs="Arial"/>
        </w:rPr>
        <w:t>provided</w:t>
      </w:r>
      <w:proofErr w:type="gramEnd"/>
      <w:r w:rsidRPr="00D930BB">
        <w:rPr>
          <w:rFonts w:ascii="Arial" w:hAnsi="Arial" w:cs="Arial"/>
        </w:rPr>
        <w:t xml:space="preserve"> screening and assessment services and referred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to the appropriate level of care. Transportation shall be arranged when necessary and appropriate.</w:t>
      </w:r>
    </w:p>
    <w:p w14:paraId="024A6A41" w14:textId="77777777" w:rsidR="00D930BB" w:rsidRDefault="00D930BB" w:rsidP="00D930BB">
      <w:pPr>
        <w:spacing w:after="0"/>
        <w:rPr>
          <w:rFonts w:ascii="Arial" w:hAnsi="Arial" w:cs="Arial"/>
          <w:b/>
          <w:bCs/>
        </w:rPr>
      </w:pPr>
    </w:p>
    <w:p w14:paraId="64B18807" w14:textId="62481494" w:rsidR="00D930BB" w:rsidRPr="00D930BB" w:rsidRDefault="00D930BB" w:rsidP="00D930BB">
      <w:pPr>
        <w:spacing w:after="0"/>
        <w:jc w:val="center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PART 2. URGENT RECOVERY CLINIC SERVICES</w:t>
      </w:r>
    </w:p>
    <w:p w14:paraId="1A1F85DC" w14:textId="77777777" w:rsidR="00D930BB" w:rsidRDefault="00D930BB" w:rsidP="00D930BB">
      <w:pPr>
        <w:spacing w:after="0"/>
        <w:rPr>
          <w:rFonts w:ascii="Arial" w:hAnsi="Arial" w:cs="Arial"/>
          <w:b/>
          <w:bCs/>
        </w:rPr>
      </w:pPr>
    </w:p>
    <w:p w14:paraId="09BC67B6" w14:textId="7BDAF615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450:23-3-23.1. Urgent Recovery Clinic admission criteria</w:t>
      </w:r>
    </w:p>
    <w:p w14:paraId="1BE36B90" w14:textId="77777777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Individuals shall be admitted </w:t>
      </w:r>
      <w:proofErr w:type="gramStart"/>
      <w:r w:rsidRPr="00D930BB">
        <w:rPr>
          <w:rFonts w:ascii="Arial" w:hAnsi="Arial" w:cs="Arial"/>
        </w:rPr>
        <w:t>for</w:t>
      </w:r>
      <w:proofErr w:type="gramEnd"/>
      <w:r w:rsidRPr="00D930BB">
        <w:rPr>
          <w:rFonts w:ascii="Arial" w:hAnsi="Arial" w:cs="Arial"/>
        </w:rPr>
        <w:t xml:space="preserve"> Urgent Recovery Clinic services if all the following criteria are met:</w:t>
      </w:r>
    </w:p>
    <w:p w14:paraId="7EA240DC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(1) The individual is within the age range of those served at the facility; and</w:t>
      </w:r>
    </w:p>
    <w:p w14:paraId="319F380D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(2) The individual does not meet any of the exclusion criteria within OAC 450:23-3-23.5. </w:t>
      </w:r>
    </w:p>
    <w:p w14:paraId="46B4D354" w14:textId="77777777" w:rsidR="00D930BB" w:rsidRDefault="00D930BB" w:rsidP="00D930BB">
      <w:pPr>
        <w:spacing w:after="0"/>
        <w:rPr>
          <w:rFonts w:ascii="Arial" w:hAnsi="Arial" w:cs="Arial"/>
        </w:rPr>
      </w:pPr>
    </w:p>
    <w:p w14:paraId="69E693D9" w14:textId="465F07A3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450:23-3-23.3. Admission of minors</w:t>
      </w:r>
    </w:p>
    <w:p w14:paraId="4DC2D7CE" w14:textId="21D6A977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(a) For individuals under the age of eighteen (18) admitted to an Urgent Recovery Clinic, an adult caregiver must accompany the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child for the duration of the child’s stay.</w:t>
      </w:r>
    </w:p>
    <w:p w14:paraId="46DDC9DC" w14:textId="25D24FF9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(b) Any minor in the custody of the State of Oklahoma (Oklahoma Human Services or Office of Juvenile Affairs) must be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accompanied by their assigned Oklahoma Human Services (OHS)/Office of Juvenile Affairs worker, OHS/Group Home Liaison, or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on-call OHS worker.</w:t>
      </w:r>
    </w:p>
    <w:p w14:paraId="4595D676" w14:textId="1052C792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(c) A parent or guardian may accompany a minor who is in the State’s custody if approved by the minor’s assigned caseworker or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their supervisor.</w:t>
      </w:r>
    </w:p>
    <w:p w14:paraId="20514908" w14:textId="1DE01349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lastRenderedPageBreak/>
        <w:t>(d) A minor admitted to the Urgent Recovery Clinic may not be left unaccompanied at any time. A caseworker, approved parent or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guardian, or adult caregiver must </w:t>
      </w:r>
      <w:proofErr w:type="gramStart"/>
      <w:r w:rsidRPr="00D930BB">
        <w:rPr>
          <w:rFonts w:ascii="Arial" w:hAnsi="Arial" w:cs="Arial"/>
        </w:rPr>
        <w:t>be present at all times</w:t>
      </w:r>
      <w:proofErr w:type="gramEnd"/>
      <w:r w:rsidRPr="00D930BB">
        <w:rPr>
          <w:rFonts w:ascii="Arial" w:hAnsi="Arial" w:cs="Arial"/>
        </w:rPr>
        <w:t>. A sitting service is not permitted.</w:t>
      </w:r>
    </w:p>
    <w:p w14:paraId="00357542" w14:textId="77777777" w:rsidR="00D930BB" w:rsidRDefault="00D930BB" w:rsidP="00D930BB">
      <w:pPr>
        <w:spacing w:after="0"/>
        <w:rPr>
          <w:rFonts w:ascii="Arial" w:hAnsi="Arial" w:cs="Arial"/>
          <w:b/>
          <w:bCs/>
        </w:rPr>
      </w:pPr>
    </w:p>
    <w:p w14:paraId="696B7B6A" w14:textId="52BEE3C9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  <w:b/>
          <w:bCs/>
        </w:rPr>
        <w:t>450:23-3-23.5. Urgent Recovery Clinic exclusion criteria</w:t>
      </w:r>
    </w:p>
    <w:p w14:paraId="5B6A8499" w14:textId="34DA9F0C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(a) The facility may choose not to admit an individual for Urgent Recovery Clinic services and shall refer the individual to the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>appropriate medical facility if the individual presents with any of the following:</w:t>
      </w:r>
    </w:p>
    <w:p w14:paraId="206DBB6C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(1) Severe burns requiring acute care and cannot be cared for at </w:t>
      </w:r>
      <w:proofErr w:type="gramStart"/>
      <w:r w:rsidRPr="00D930BB">
        <w:rPr>
          <w:rFonts w:ascii="Arial" w:hAnsi="Arial" w:cs="Arial"/>
        </w:rPr>
        <w:t>home;</w:t>
      </w:r>
      <w:proofErr w:type="gramEnd"/>
    </w:p>
    <w:p w14:paraId="2CBBEFE8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(2) Acute </w:t>
      </w:r>
      <w:proofErr w:type="gramStart"/>
      <w:r w:rsidRPr="00D930BB">
        <w:rPr>
          <w:rFonts w:ascii="Arial" w:hAnsi="Arial" w:cs="Arial"/>
        </w:rPr>
        <w:t>Delirium;</w:t>
      </w:r>
      <w:proofErr w:type="gramEnd"/>
    </w:p>
    <w:p w14:paraId="40EF70AC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(3) Dementia as a primary diagnosis in the absence of clinically significant psychiatric </w:t>
      </w:r>
      <w:proofErr w:type="gramStart"/>
      <w:r w:rsidRPr="00D930BB">
        <w:rPr>
          <w:rFonts w:ascii="Arial" w:hAnsi="Arial" w:cs="Arial"/>
        </w:rPr>
        <w:t>symptoms;</w:t>
      </w:r>
      <w:proofErr w:type="gramEnd"/>
    </w:p>
    <w:p w14:paraId="3CC244B6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(4) Acute head trauma/traumatic brain injury in absence of mental illness or substance use </w:t>
      </w:r>
      <w:proofErr w:type="gramStart"/>
      <w:r w:rsidRPr="00D930BB">
        <w:rPr>
          <w:rFonts w:ascii="Arial" w:hAnsi="Arial" w:cs="Arial"/>
        </w:rPr>
        <w:t>disorder;</w:t>
      </w:r>
      <w:proofErr w:type="gramEnd"/>
    </w:p>
    <w:p w14:paraId="03D2C5E0" w14:textId="42144FF3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(5) Unstable fractures which are open or closed, or joint dislocations which are acute, </w:t>
      </w:r>
      <w:proofErr w:type="gramStart"/>
      <w:r w:rsidRPr="00D930BB">
        <w:rPr>
          <w:rFonts w:ascii="Arial" w:hAnsi="Arial" w:cs="Arial"/>
        </w:rPr>
        <w:t>with the exception of</w:t>
      </w:r>
      <w:proofErr w:type="gramEnd"/>
      <w:r w:rsidRPr="00D930BB">
        <w:rPr>
          <w:rFonts w:ascii="Arial" w:hAnsi="Arial" w:cs="Arial"/>
        </w:rPr>
        <w:t xml:space="preserve"> fractures that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are secured via cast or </w:t>
      </w:r>
      <w:proofErr w:type="gramStart"/>
      <w:r w:rsidRPr="00D930BB">
        <w:rPr>
          <w:rFonts w:ascii="Arial" w:hAnsi="Arial" w:cs="Arial"/>
        </w:rPr>
        <w:t>splint;</w:t>
      </w:r>
      <w:proofErr w:type="gramEnd"/>
    </w:p>
    <w:p w14:paraId="47FDC7FD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(6) Uncontrolled seizure disorders, not including other types of seizures or </w:t>
      </w:r>
      <w:proofErr w:type="gramStart"/>
      <w:r w:rsidRPr="00D930BB">
        <w:rPr>
          <w:rFonts w:ascii="Arial" w:hAnsi="Arial" w:cs="Arial"/>
        </w:rPr>
        <w:t>seizure</w:t>
      </w:r>
      <w:proofErr w:type="gramEnd"/>
      <w:r w:rsidRPr="00D930BB">
        <w:rPr>
          <w:rFonts w:ascii="Arial" w:hAnsi="Arial" w:cs="Arial"/>
        </w:rPr>
        <w:t xml:space="preserve"> </w:t>
      </w:r>
      <w:proofErr w:type="gramStart"/>
      <w:r w:rsidRPr="00D930BB">
        <w:rPr>
          <w:rFonts w:ascii="Arial" w:hAnsi="Arial" w:cs="Arial"/>
        </w:rPr>
        <w:t>disorders;</w:t>
      </w:r>
      <w:proofErr w:type="gramEnd"/>
    </w:p>
    <w:p w14:paraId="6DEE15CA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(7) Bowel obstruction requiring active treatment or medical </w:t>
      </w:r>
      <w:proofErr w:type="gramStart"/>
      <w:r w:rsidRPr="00D930BB">
        <w:rPr>
          <w:rFonts w:ascii="Arial" w:hAnsi="Arial" w:cs="Arial"/>
        </w:rPr>
        <w:t>observation;</w:t>
      </w:r>
      <w:proofErr w:type="gramEnd"/>
    </w:p>
    <w:p w14:paraId="61C6E143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(8) Acute respiratory </w:t>
      </w:r>
      <w:proofErr w:type="gramStart"/>
      <w:r w:rsidRPr="00D930BB">
        <w:rPr>
          <w:rFonts w:ascii="Arial" w:hAnsi="Arial" w:cs="Arial"/>
        </w:rPr>
        <w:t>distress;</w:t>
      </w:r>
      <w:proofErr w:type="gramEnd"/>
    </w:p>
    <w:p w14:paraId="25BCC359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(9) Active acute drug/alcohol withdrawal that can only be treated in a medical hospital </w:t>
      </w:r>
      <w:proofErr w:type="gramStart"/>
      <w:r w:rsidRPr="00D930BB">
        <w:rPr>
          <w:rFonts w:ascii="Arial" w:hAnsi="Arial" w:cs="Arial"/>
        </w:rPr>
        <w:t>setting;</w:t>
      </w:r>
      <w:proofErr w:type="gramEnd"/>
    </w:p>
    <w:p w14:paraId="559EF869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(10) Active gastrointestinal bleed and/or active </w:t>
      </w:r>
      <w:proofErr w:type="gramStart"/>
      <w:r w:rsidRPr="00D930BB">
        <w:rPr>
          <w:rFonts w:ascii="Arial" w:hAnsi="Arial" w:cs="Arial"/>
        </w:rPr>
        <w:t>bleeding;</w:t>
      </w:r>
      <w:proofErr w:type="gramEnd"/>
    </w:p>
    <w:p w14:paraId="4EACAE22" w14:textId="204BE6C9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(11) Active tuberculosis, Methicillin-resistant Staphylococcus aureus (MRSA), and other infectious diseases requiring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isolation and/or treatment by intravenous antibiotics, if the facility is unable to provide appropriate </w:t>
      </w:r>
      <w:proofErr w:type="gramStart"/>
      <w:r w:rsidRPr="00D930BB">
        <w:rPr>
          <w:rFonts w:ascii="Arial" w:hAnsi="Arial" w:cs="Arial"/>
        </w:rPr>
        <w:t>care;</w:t>
      </w:r>
      <w:proofErr w:type="gramEnd"/>
    </w:p>
    <w:p w14:paraId="51A12DF6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(12) Complex wound care, if the facility is unable to provide appropriate </w:t>
      </w:r>
      <w:proofErr w:type="gramStart"/>
      <w:r w:rsidRPr="00D930BB">
        <w:rPr>
          <w:rFonts w:ascii="Arial" w:hAnsi="Arial" w:cs="Arial"/>
        </w:rPr>
        <w:t>care;</w:t>
      </w:r>
      <w:proofErr w:type="gramEnd"/>
    </w:p>
    <w:p w14:paraId="2F6D0784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(13) Need for intravenous fluids or intravenous </w:t>
      </w:r>
      <w:proofErr w:type="gramStart"/>
      <w:r w:rsidRPr="00D930BB">
        <w:rPr>
          <w:rFonts w:ascii="Arial" w:hAnsi="Arial" w:cs="Arial"/>
        </w:rPr>
        <w:t>antibiotics;</w:t>
      </w:r>
      <w:proofErr w:type="gramEnd"/>
    </w:p>
    <w:p w14:paraId="04C621EE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(14) Utilization of a ventilator or </w:t>
      </w:r>
      <w:proofErr w:type="gramStart"/>
      <w:r w:rsidRPr="00D930BB">
        <w:rPr>
          <w:rFonts w:ascii="Arial" w:hAnsi="Arial" w:cs="Arial"/>
        </w:rPr>
        <w:t>tracheostomy;</w:t>
      </w:r>
      <w:proofErr w:type="gramEnd"/>
    </w:p>
    <w:p w14:paraId="40106C2C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(15) Oxygen dependence, if the facility is unable to provide appropriate </w:t>
      </w:r>
      <w:proofErr w:type="gramStart"/>
      <w:r w:rsidRPr="00D930BB">
        <w:rPr>
          <w:rFonts w:ascii="Arial" w:hAnsi="Arial" w:cs="Arial"/>
        </w:rPr>
        <w:t>care;</w:t>
      </w:r>
      <w:proofErr w:type="gramEnd"/>
    </w:p>
    <w:p w14:paraId="51129D1D" w14:textId="1AE167C4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(16) Tubes or drains within the chest or abdomen, including ostomies and catheters, if the facility is unable to provide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appropriate </w:t>
      </w:r>
      <w:proofErr w:type="gramStart"/>
      <w:r w:rsidRPr="00D930BB">
        <w:rPr>
          <w:rFonts w:ascii="Arial" w:hAnsi="Arial" w:cs="Arial"/>
        </w:rPr>
        <w:t>care;</w:t>
      </w:r>
      <w:proofErr w:type="gramEnd"/>
    </w:p>
    <w:p w14:paraId="5222462A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(17) Need for </w:t>
      </w:r>
      <w:proofErr w:type="gramStart"/>
      <w:r w:rsidRPr="00D930BB">
        <w:rPr>
          <w:rFonts w:ascii="Arial" w:hAnsi="Arial" w:cs="Arial"/>
        </w:rPr>
        <w:t>dialysis;</w:t>
      </w:r>
      <w:proofErr w:type="gramEnd"/>
    </w:p>
    <w:p w14:paraId="07EA90ED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(18) Need for hospice or end of life care; or</w:t>
      </w:r>
    </w:p>
    <w:p w14:paraId="4CC69B81" w14:textId="77777777" w:rsidR="00D930BB" w:rsidRPr="00D930BB" w:rsidRDefault="00D930BB" w:rsidP="00D930BB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(19) Uncontrolled insulin-dependent diabetes.</w:t>
      </w:r>
    </w:p>
    <w:p w14:paraId="7A4881AC" w14:textId="54568D43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>(b) Additionally, the facility may choose not to admit an individual who meets any of the following criteria for Urgent Recovery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Clinic services and shall refer the individual to the appropriate facility or community provider if not admitted: </w:t>
      </w:r>
    </w:p>
    <w:p w14:paraId="4AA38D35" w14:textId="77777777" w:rsidR="00D930BB" w:rsidRPr="00D930BB" w:rsidRDefault="00D930BB" w:rsidP="002930D7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(1) Inability to complete Activities of Daily Living not related to psychiatric or substance use </w:t>
      </w:r>
      <w:proofErr w:type="gramStart"/>
      <w:r w:rsidRPr="00D930BB">
        <w:rPr>
          <w:rFonts w:ascii="Arial" w:hAnsi="Arial" w:cs="Arial"/>
        </w:rPr>
        <w:t>symptoms;</w:t>
      </w:r>
      <w:proofErr w:type="gramEnd"/>
    </w:p>
    <w:p w14:paraId="7F6D0F7A" w14:textId="77777777" w:rsidR="00D930BB" w:rsidRPr="00D930BB" w:rsidRDefault="00D930BB" w:rsidP="002930D7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lastRenderedPageBreak/>
        <w:t>(2) Currently incarcerated or in juvenile detention; or</w:t>
      </w:r>
    </w:p>
    <w:p w14:paraId="15F7CABC" w14:textId="77777777" w:rsidR="00D930BB" w:rsidRPr="00D930BB" w:rsidRDefault="00D930BB" w:rsidP="002930D7">
      <w:pPr>
        <w:spacing w:after="0"/>
        <w:ind w:left="720"/>
        <w:rPr>
          <w:rFonts w:ascii="Arial" w:hAnsi="Arial" w:cs="Arial"/>
        </w:rPr>
      </w:pPr>
      <w:r w:rsidRPr="00D930BB">
        <w:rPr>
          <w:rFonts w:ascii="Arial" w:hAnsi="Arial" w:cs="Arial"/>
        </w:rPr>
        <w:t>(3) Does not meet admission criteria within OAC 450:23-3-23.1.</w:t>
      </w:r>
    </w:p>
    <w:p w14:paraId="5E295B3F" w14:textId="2C8EB9C0" w:rsidR="00D930BB" w:rsidRPr="00D930BB" w:rsidRDefault="00D930BB" w:rsidP="00D930BB">
      <w:pPr>
        <w:spacing w:after="0"/>
        <w:rPr>
          <w:rFonts w:ascii="Arial" w:hAnsi="Arial" w:cs="Arial"/>
        </w:rPr>
      </w:pPr>
      <w:r w:rsidRPr="00D930BB">
        <w:rPr>
          <w:rFonts w:ascii="Arial" w:hAnsi="Arial" w:cs="Arial"/>
        </w:rPr>
        <w:t xml:space="preserve">(c) Any individual who </w:t>
      </w:r>
      <w:proofErr w:type="gramStart"/>
      <w:r w:rsidRPr="00D930BB">
        <w:rPr>
          <w:rFonts w:ascii="Arial" w:hAnsi="Arial" w:cs="Arial"/>
        </w:rPr>
        <w:t>presents</w:t>
      </w:r>
      <w:proofErr w:type="gramEnd"/>
      <w:r w:rsidRPr="00D930BB">
        <w:rPr>
          <w:rFonts w:ascii="Arial" w:hAnsi="Arial" w:cs="Arial"/>
        </w:rPr>
        <w:t xml:space="preserve"> at the facility and is not admitted shall be provided screening and assessment services and referred</w:t>
      </w:r>
      <w:r>
        <w:rPr>
          <w:rFonts w:ascii="Arial" w:hAnsi="Arial" w:cs="Arial"/>
        </w:rPr>
        <w:t xml:space="preserve"> </w:t>
      </w:r>
      <w:r w:rsidRPr="00D930BB">
        <w:rPr>
          <w:rFonts w:ascii="Arial" w:hAnsi="Arial" w:cs="Arial"/>
        </w:rPr>
        <w:t xml:space="preserve">to the appropriate level of care. Transportation shall be arranged when necessary and appropriate. </w:t>
      </w:r>
    </w:p>
    <w:p w14:paraId="41EA627C" w14:textId="177632FC" w:rsidR="00D930BB" w:rsidRPr="00D930BB" w:rsidRDefault="00D930BB" w:rsidP="00D930BB">
      <w:pPr>
        <w:spacing w:after="0"/>
        <w:rPr>
          <w:rFonts w:ascii="Arial" w:hAnsi="Arial" w:cs="Arial"/>
        </w:rPr>
      </w:pPr>
    </w:p>
    <w:sectPr w:rsidR="00D930BB" w:rsidRPr="00D9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BB"/>
    <w:rsid w:val="002930D7"/>
    <w:rsid w:val="00BB3AA8"/>
    <w:rsid w:val="00D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D1D6"/>
  <w15:chartTrackingRefBased/>
  <w15:docId w15:val="{580DA02A-D776-45BC-8705-F751D0AE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2550D731C7B449063C21E9B6CB8B6" ma:contentTypeVersion="15" ma:contentTypeDescription="Create a new document." ma:contentTypeScope="" ma:versionID="e1000d4db1fa9f83c26a43b21aef1be5">
  <xsd:schema xmlns:xsd="http://www.w3.org/2001/XMLSchema" xmlns:xs="http://www.w3.org/2001/XMLSchema" xmlns:p="http://schemas.microsoft.com/office/2006/metadata/properties" xmlns:ns1="http://schemas.microsoft.com/sharepoint/v3" xmlns:ns2="3a188608-300b-4491-b9b6-921d9247f009" xmlns:ns3="ae2b8d1a-6e2d-4b9a-908a-5856382f4bf9" targetNamespace="http://schemas.microsoft.com/office/2006/metadata/properties" ma:root="true" ma:fieldsID="ac17204ef1bb1fd0437323af76aeab38" ns1:_="" ns2:_="" ns3:_="">
    <xsd:import namespace="http://schemas.microsoft.com/sharepoint/v3"/>
    <xsd:import namespace="3a188608-300b-4491-b9b6-921d9247f009"/>
    <xsd:import namespace="ae2b8d1a-6e2d-4b9a-908a-5856382f4bf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88608-300b-4491-b9b6-921d9247f009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b8d1a-6e2d-4b9a-908a-5856382f4b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02b000-e469-4478-bfd4-044368a25829}" ma:internalName="TaxCatchAll" ma:showField="CatchAllData" ma:web="ae2b8d1a-6e2d-4b9a-908a-5856382f4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a188608-300b-4491-b9b6-921d9247f009">
      <Terms xmlns="http://schemas.microsoft.com/office/infopath/2007/PartnerControls"/>
    </lcf76f155ced4ddcb4097134ff3c332f>
    <TaxCatchAll xmlns="ae2b8d1a-6e2d-4b9a-908a-5856382f4bf9" xsi:nil="true"/>
  </documentManagement>
</p:properties>
</file>

<file path=customXml/itemProps1.xml><?xml version="1.0" encoding="utf-8"?>
<ds:datastoreItem xmlns:ds="http://schemas.openxmlformats.org/officeDocument/2006/customXml" ds:itemID="{2B7F70A7-41C2-4E47-B2B5-20DAEF938DD5}"/>
</file>

<file path=customXml/itemProps2.xml><?xml version="1.0" encoding="utf-8"?>
<ds:datastoreItem xmlns:ds="http://schemas.openxmlformats.org/officeDocument/2006/customXml" ds:itemID="{9819FD73-132B-4B7B-82F9-F3D814120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DA0BB-DAEB-4F00-B2D3-712089838ABD}">
  <ds:schemaRefs>
    <ds:schemaRef ds:uri="http://www.w3.org/XML/1998/namespace"/>
    <ds:schemaRef ds:uri="http://schemas.microsoft.com/office/2006/documentManagement/types"/>
    <ds:schemaRef ds:uri="http://purl.org/dc/terms/"/>
    <ds:schemaRef ds:uri="166c4421-e5ef-4f5b-bc13-08a079f1f3bd"/>
    <ds:schemaRef ds:uri="http://purl.org/dc/elements/1.1/"/>
    <ds:schemaRef ds:uri="9d6080dd-0690-45b6-ab81-ed626428c6f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Melissa</dc:creator>
  <cp:keywords/>
  <dc:description/>
  <cp:lastModifiedBy>Miller, Melissa</cp:lastModifiedBy>
  <cp:revision>2</cp:revision>
  <dcterms:created xsi:type="dcterms:W3CDTF">2025-10-14T16:14:00Z</dcterms:created>
  <dcterms:modified xsi:type="dcterms:W3CDTF">2025-10-14T16:19:00Z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0x010100B0D2550D731C7B449063C21E9B6CB8B6</vt:lpwstr>
  </property>
  <property fmtid="{D5CDD505-2E9C-101B-9397-08002B2CF9AE}" pid="3" name="Order">
    <vt:r8>31900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